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BC4589" w14:textId="77777777" w:rsidR="00A538A3" w:rsidRPr="005B26DB" w:rsidRDefault="00A538A3" w:rsidP="000E2C6A">
      <w:pPr>
        <w:spacing w:line="360" w:lineRule="auto"/>
        <w:rPr>
          <w:rFonts w:asciiTheme="minorHAnsi" w:hAnsiTheme="minorHAnsi"/>
          <w:sz w:val="22"/>
          <w:szCs w:val="22"/>
          <w:lang w:val="en-GB"/>
        </w:rPr>
      </w:pPr>
      <w:r w:rsidRPr="005B26DB">
        <w:rPr>
          <w:rFonts w:asciiTheme="minorHAnsi" w:hAnsiTheme="minorHAnsi"/>
          <w:b/>
          <w:lang w:val="en-GB"/>
        </w:rPr>
        <w:t xml:space="preserve">Natalizumab treatment of progressive multiple sclerosis reduces inflammation and </w:t>
      </w:r>
      <w:r>
        <w:rPr>
          <w:rFonts w:asciiTheme="minorHAnsi" w:hAnsiTheme="minorHAnsi"/>
          <w:b/>
          <w:lang w:val="en-GB"/>
        </w:rPr>
        <w:t>tissue damage</w:t>
      </w:r>
      <w:r w:rsidRPr="005B26DB">
        <w:rPr>
          <w:rFonts w:asciiTheme="minorHAnsi" w:hAnsiTheme="minorHAnsi"/>
          <w:b/>
          <w:lang w:val="en-GB"/>
        </w:rPr>
        <w:t xml:space="preserve"> - </w:t>
      </w:r>
      <w:r>
        <w:rPr>
          <w:rFonts w:asciiTheme="minorHAnsi" w:hAnsiTheme="minorHAnsi"/>
          <w:b/>
          <w:lang w:val="en-GB"/>
        </w:rPr>
        <w:t>results of</w:t>
      </w:r>
      <w:r w:rsidRPr="005B26DB">
        <w:rPr>
          <w:rFonts w:asciiTheme="minorHAnsi" w:hAnsiTheme="minorHAnsi"/>
          <w:b/>
          <w:lang w:val="en-GB"/>
        </w:rPr>
        <w:t xml:space="preserve"> a phase 2A </w:t>
      </w:r>
      <w:r>
        <w:rPr>
          <w:rFonts w:asciiTheme="minorHAnsi" w:hAnsiTheme="minorHAnsi"/>
          <w:b/>
          <w:lang w:val="en-GB"/>
        </w:rPr>
        <w:t>proof-of-concept study</w:t>
      </w:r>
    </w:p>
    <w:p w14:paraId="4B45B52D" w14:textId="77777777" w:rsidR="00A538A3" w:rsidRPr="001B7EBB" w:rsidRDefault="00A538A3" w:rsidP="000E2C6A">
      <w:pPr>
        <w:spacing w:line="360" w:lineRule="auto"/>
        <w:rPr>
          <w:rFonts w:asciiTheme="minorHAnsi" w:hAnsiTheme="minorHAnsi"/>
          <w:b/>
          <w:sz w:val="22"/>
          <w:szCs w:val="22"/>
        </w:rPr>
      </w:pPr>
    </w:p>
    <w:p w14:paraId="67F07101" w14:textId="68A240CE" w:rsidR="00A538A3" w:rsidRPr="005B26DB" w:rsidRDefault="00FD3AA8" w:rsidP="000E2C6A">
      <w:pPr>
        <w:spacing w:line="360" w:lineRule="auto"/>
        <w:rPr>
          <w:rFonts w:asciiTheme="minorHAnsi" w:hAnsiTheme="minorHAnsi"/>
          <w:b/>
          <w:sz w:val="22"/>
          <w:szCs w:val="22"/>
          <w:lang w:val="en-GB"/>
        </w:rPr>
      </w:pPr>
      <w:r>
        <w:rPr>
          <w:rFonts w:asciiTheme="minorHAnsi" w:hAnsiTheme="minorHAnsi"/>
          <w:b/>
          <w:sz w:val="22"/>
          <w:szCs w:val="22"/>
          <w:lang w:val="en-GB"/>
        </w:rPr>
        <w:t>Summary</w:t>
      </w:r>
      <w:r w:rsidR="00A538A3" w:rsidRPr="005B26DB">
        <w:rPr>
          <w:rFonts w:asciiTheme="minorHAnsi" w:hAnsiTheme="minorHAnsi"/>
          <w:b/>
          <w:sz w:val="22"/>
          <w:szCs w:val="22"/>
          <w:lang w:val="en-GB"/>
        </w:rPr>
        <w:t xml:space="preserve">: </w:t>
      </w:r>
    </w:p>
    <w:p w14:paraId="0E2C2F4D" w14:textId="77777777" w:rsidR="00A538A3" w:rsidRPr="005B26DB" w:rsidRDefault="00A538A3" w:rsidP="000E2C6A">
      <w:pPr>
        <w:spacing w:line="360" w:lineRule="auto"/>
        <w:rPr>
          <w:rFonts w:asciiTheme="minorHAnsi" w:hAnsiTheme="minorHAnsi"/>
          <w:sz w:val="22"/>
          <w:szCs w:val="22"/>
          <w:lang w:val="en-GB"/>
        </w:rPr>
      </w:pPr>
      <w:r w:rsidRPr="005B26DB">
        <w:rPr>
          <w:rFonts w:asciiTheme="minorHAnsi" w:hAnsiTheme="minorHAnsi"/>
          <w:b/>
          <w:sz w:val="22"/>
          <w:szCs w:val="22"/>
          <w:lang w:val="en-GB"/>
        </w:rPr>
        <w:t xml:space="preserve">Background: </w:t>
      </w:r>
      <w:r>
        <w:rPr>
          <w:rFonts w:asciiTheme="minorHAnsi" w:hAnsiTheme="minorHAnsi"/>
          <w:sz w:val="22"/>
          <w:szCs w:val="22"/>
          <w:lang w:val="en-GB"/>
        </w:rPr>
        <w:t>Progressive</w:t>
      </w:r>
      <w:r w:rsidRPr="005B26DB">
        <w:rPr>
          <w:rFonts w:asciiTheme="minorHAnsi" w:hAnsiTheme="minorHAnsi"/>
          <w:sz w:val="22"/>
          <w:szCs w:val="22"/>
          <w:lang w:val="en-GB"/>
        </w:rPr>
        <w:t xml:space="preserve"> multiple sclerosis (MS) </w:t>
      </w:r>
      <w:r>
        <w:rPr>
          <w:rFonts w:asciiTheme="minorHAnsi" w:hAnsiTheme="minorHAnsi"/>
          <w:sz w:val="22"/>
          <w:szCs w:val="22"/>
          <w:lang w:val="en-GB"/>
        </w:rPr>
        <w:t>is</w:t>
      </w:r>
      <w:r w:rsidRPr="005B26DB">
        <w:rPr>
          <w:rFonts w:asciiTheme="minorHAnsi" w:hAnsiTheme="minorHAnsi"/>
          <w:sz w:val="22"/>
          <w:szCs w:val="22"/>
          <w:lang w:val="en-GB"/>
        </w:rPr>
        <w:t xml:space="preserve"> characterise</w:t>
      </w:r>
      <w:r>
        <w:rPr>
          <w:rFonts w:asciiTheme="minorHAnsi" w:hAnsiTheme="minorHAnsi"/>
          <w:sz w:val="22"/>
          <w:szCs w:val="22"/>
          <w:lang w:val="en-GB"/>
        </w:rPr>
        <w:t>d</w:t>
      </w:r>
      <w:r w:rsidRPr="005B26DB">
        <w:rPr>
          <w:rFonts w:asciiTheme="minorHAnsi" w:hAnsiTheme="minorHAnsi"/>
          <w:sz w:val="22"/>
          <w:szCs w:val="22"/>
          <w:lang w:val="en-GB"/>
        </w:rPr>
        <w:t xml:space="preserve"> by progressive disease activity leading to severe disability</w:t>
      </w:r>
      <w:r>
        <w:rPr>
          <w:rFonts w:asciiTheme="minorHAnsi" w:hAnsiTheme="minorHAnsi"/>
          <w:sz w:val="22"/>
          <w:szCs w:val="22"/>
          <w:lang w:val="en-GB"/>
        </w:rPr>
        <w:t xml:space="preserve">, but </w:t>
      </w:r>
      <w:r w:rsidRPr="005B26DB">
        <w:rPr>
          <w:rFonts w:asciiTheme="minorHAnsi" w:hAnsiTheme="minorHAnsi"/>
          <w:sz w:val="22"/>
          <w:szCs w:val="22"/>
          <w:lang w:val="en-GB"/>
        </w:rPr>
        <w:t>treatment</w:t>
      </w:r>
      <w:r>
        <w:rPr>
          <w:rFonts w:asciiTheme="minorHAnsi" w:hAnsiTheme="minorHAnsi"/>
          <w:sz w:val="22"/>
          <w:szCs w:val="22"/>
          <w:lang w:val="en-GB"/>
        </w:rPr>
        <w:t xml:space="preserve"> possibilitie</w:t>
      </w:r>
      <w:r w:rsidRPr="005B26DB">
        <w:rPr>
          <w:rFonts w:asciiTheme="minorHAnsi" w:hAnsiTheme="minorHAnsi"/>
          <w:sz w:val="22"/>
          <w:szCs w:val="22"/>
          <w:lang w:val="en-GB"/>
        </w:rPr>
        <w:t xml:space="preserve">s </w:t>
      </w:r>
      <w:r>
        <w:rPr>
          <w:rFonts w:asciiTheme="minorHAnsi" w:hAnsiTheme="minorHAnsi"/>
          <w:sz w:val="22"/>
          <w:szCs w:val="22"/>
          <w:lang w:val="en-GB"/>
        </w:rPr>
        <w:t>are limited</w:t>
      </w:r>
      <w:r w:rsidRPr="005B26DB">
        <w:rPr>
          <w:rFonts w:asciiTheme="minorHAnsi" w:hAnsiTheme="minorHAnsi"/>
          <w:sz w:val="22"/>
          <w:szCs w:val="22"/>
          <w:lang w:val="en-GB"/>
        </w:rPr>
        <w:t xml:space="preserve">. </w:t>
      </w:r>
      <w:r>
        <w:rPr>
          <w:rFonts w:asciiTheme="minorHAnsi" w:hAnsiTheme="minorHAnsi"/>
          <w:sz w:val="22"/>
          <w:szCs w:val="22"/>
          <w:lang w:val="en-GB"/>
        </w:rPr>
        <w:t>The role of systemic immune activation in the pathogenesis of progressive MS is controversial.</w:t>
      </w:r>
      <w:r w:rsidRPr="005B26DB">
        <w:rPr>
          <w:rFonts w:asciiTheme="minorHAnsi" w:hAnsiTheme="minorHAnsi"/>
          <w:sz w:val="22"/>
          <w:szCs w:val="22"/>
          <w:lang w:val="en-GB"/>
        </w:rPr>
        <w:t xml:space="preserve"> </w:t>
      </w:r>
      <w:r>
        <w:rPr>
          <w:rFonts w:asciiTheme="minorHAnsi" w:hAnsiTheme="minorHAnsi"/>
          <w:sz w:val="22"/>
          <w:szCs w:val="22"/>
          <w:lang w:val="en-GB"/>
        </w:rPr>
        <w:t>N</w:t>
      </w:r>
      <w:r w:rsidRPr="005B26DB">
        <w:rPr>
          <w:rFonts w:asciiTheme="minorHAnsi" w:hAnsiTheme="minorHAnsi"/>
          <w:sz w:val="22"/>
          <w:szCs w:val="22"/>
          <w:lang w:val="en-GB"/>
        </w:rPr>
        <w:t>atalizumab</w:t>
      </w:r>
      <w:r>
        <w:rPr>
          <w:rFonts w:asciiTheme="minorHAnsi" w:hAnsiTheme="minorHAnsi"/>
          <w:sz w:val="22"/>
          <w:szCs w:val="22"/>
          <w:lang w:val="en-GB"/>
        </w:rPr>
        <w:t>,</w:t>
      </w:r>
      <w:r w:rsidRPr="005B26DB">
        <w:rPr>
          <w:rFonts w:asciiTheme="minorHAnsi" w:hAnsiTheme="minorHAnsi"/>
          <w:sz w:val="22"/>
          <w:szCs w:val="22"/>
          <w:lang w:val="en-GB"/>
        </w:rPr>
        <w:t xml:space="preserve"> </w:t>
      </w:r>
      <w:r>
        <w:rPr>
          <w:rFonts w:asciiTheme="minorHAnsi" w:hAnsiTheme="minorHAnsi"/>
          <w:sz w:val="22"/>
          <w:szCs w:val="22"/>
          <w:lang w:val="en-GB"/>
        </w:rPr>
        <w:t>an</w:t>
      </w:r>
      <w:r w:rsidRPr="005B26DB">
        <w:rPr>
          <w:rFonts w:asciiTheme="minorHAnsi" w:hAnsiTheme="minorHAnsi"/>
          <w:sz w:val="22"/>
          <w:szCs w:val="22"/>
          <w:lang w:val="en-GB"/>
        </w:rPr>
        <w:t xml:space="preserve"> α4-integrin ant</w:t>
      </w:r>
      <w:r>
        <w:rPr>
          <w:rFonts w:asciiTheme="minorHAnsi" w:hAnsiTheme="minorHAnsi"/>
          <w:sz w:val="22"/>
          <w:szCs w:val="22"/>
          <w:lang w:val="en-GB"/>
        </w:rPr>
        <w:t>ibody,</w:t>
      </w:r>
      <w:r w:rsidRPr="005B26DB">
        <w:rPr>
          <w:rFonts w:asciiTheme="minorHAnsi" w:hAnsiTheme="minorHAnsi"/>
          <w:sz w:val="22"/>
          <w:szCs w:val="22"/>
          <w:lang w:val="en-GB"/>
        </w:rPr>
        <w:t xml:space="preserve"> blocks the passage of leukocytes into the brain, and </w:t>
      </w:r>
      <w:r>
        <w:rPr>
          <w:rFonts w:asciiTheme="minorHAnsi" w:hAnsiTheme="minorHAnsi"/>
          <w:sz w:val="22"/>
          <w:szCs w:val="22"/>
          <w:lang w:val="en-GB"/>
        </w:rPr>
        <w:t>may be beneficial in</w:t>
      </w:r>
      <w:r w:rsidRPr="005B26DB">
        <w:rPr>
          <w:rFonts w:asciiTheme="minorHAnsi" w:hAnsiTheme="minorHAnsi"/>
          <w:sz w:val="22"/>
          <w:szCs w:val="22"/>
          <w:lang w:val="en-GB"/>
        </w:rPr>
        <w:t xml:space="preserve"> progressive MS</w:t>
      </w:r>
      <w:r>
        <w:rPr>
          <w:rFonts w:asciiTheme="minorHAnsi" w:hAnsiTheme="minorHAnsi"/>
          <w:sz w:val="22"/>
          <w:szCs w:val="22"/>
          <w:lang w:val="en-GB"/>
        </w:rPr>
        <w:t>. The objective of this study was to assess the safety and effect of natalizumab treatment in progressive MS.</w:t>
      </w:r>
    </w:p>
    <w:p w14:paraId="501F462F" w14:textId="411BB24C" w:rsidR="00A538A3" w:rsidRDefault="00A538A3" w:rsidP="000E2C6A">
      <w:pPr>
        <w:spacing w:line="360" w:lineRule="auto"/>
        <w:rPr>
          <w:rFonts w:asciiTheme="minorHAnsi" w:hAnsiTheme="minorHAnsi"/>
          <w:bCs/>
          <w:sz w:val="22"/>
          <w:szCs w:val="22"/>
          <w:lang w:val="en-GB"/>
        </w:rPr>
      </w:pPr>
      <w:r w:rsidRPr="005B26DB">
        <w:rPr>
          <w:rFonts w:asciiTheme="minorHAnsi" w:hAnsiTheme="minorHAnsi"/>
          <w:b/>
          <w:sz w:val="22"/>
          <w:szCs w:val="22"/>
          <w:lang w:val="en-GB"/>
        </w:rPr>
        <w:t>Materials and methods:</w:t>
      </w:r>
      <w:r w:rsidRPr="005B26DB">
        <w:rPr>
          <w:rFonts w:asciiTheme="minorHAnsi" w:hAnsiTheme="minorHAnsi"/>
          <w:sz w:val="22"/>
          <w:szCs w:val="22"/>
          <w:lang w:val="en-GB"/>
        </w:rPr>
        <w:t xml:space="preserve">  </w:t>
      </w:r>
      <w:r w:rsidR="00FD3AA8" w:rsidRPr="00FD3AA8">
        <w:rPr>
          <w:rFonts w:asciiTheme="minorHAnsi" w:hAnsiTheme="minorHAnsi"/>
          <w:sz w:val="22"/>
          <w:szCs w:val="22"/>
          <w:lang w:val="en-GB"/>
        </w:rPr>
        <w:t>In an open-label phase 2A study</w:t>
      </w:r>
      <w:r w:rsidR="00FD3AA8" w:rsidRPr="00FD3AA8">
        <w:rPr>
          <w:rFonts w:asciiTheme="minorHAnsi" w:hAnsiTheme="minorHAnsi"/>
          <w:sz w:val="22"/>
          <w:szCs w:val="22"/>
          <w:lang w:val="en-GB"/>
        </w:rPr>
        <w:t xml:space="preserve"> </w:t>
      </w:r>
      <w:r w:rsidR="00FD3AA8">
        <w:rPr>
          <w:rFonts w:asciiTheme="minorHAnsi" w:hAnsiTheme="minorHAnsi"/>
          <w:sz w:val="22"/>
          <w:szCs w:val="22"/>
          <w:lang w:val="en-GB"/>
        </w:rPr>
        <w:t xml:space="preserve">we </w:t>
      </w:r>
      <w:r w:rsidRPr="005B26DB">
        <w:rPr>
          <w:rFonts w:asciiTheme="minorHAnsi" w:hAnsiTheme="minorHAnsi"/>
          <w:sz w:val="22"/>
          <w:szCs w:val="22"/>
          <w:lang w:val="en-GB"/>
        </w:rPr>
        <w:t>included 12 secondary and 12 primary progressive patients for 60 weeks of treatment with natalizumab</w:t>
      </w:r>
      <w:r>
        <w:rPr>
          <w:rFonts w:asciiTheme="minorHAnsi" w:hAnsiTheme="minorHAnsi"/>
          <w:sz w:val="22"/>
          <w:szCs w:val="22"/>
          <w:lang w:val="en-GB"/>
        </w:rPr>
        <w:t>.</w:t>
      </w:r>
      <w:r w:rsidRPr="005B26DB">
        <w:rPr>
          <w:rFonts w:asciiTheme="minorHAnsi" w:hAnsiTheme="minorHAnsi"/>
          <w:sz w:val="22"/>
          <w:szCs w:val="22"/>
          <w:lang w:val="en-GB"/>
        </w:rPr>
        <w:t xml:space="preserve"> </w:t>
      </w:r>
      <w:r>
        <w:rPr>
          <w:rFonts w:asciiTheme="minorHAnsi" w:hAnsiTheme="minorHAnsi"/>
          <w:sz w:val="22"/>
          <w:szCs w:val="22"/>
          <w:lang w:val="en-GB"/>
        </w:rPr>
        <w:t>Included patients had an</w:t>
      </w:r>
      <w:r w:rsidRPr="00FB6AA0">
        <w:rPr>
          <w:rFonts w:asciiTheme="minorHAnsi" w:hAnsiTheme="minorHAnsi"/>
          <w:sz w:val="22"/>
          <w:szCs w:val="22"/>
          <w:lang w:val="en-GB"/>
        </w:rPr>
        <w:t xml:space="preserve"> expanded disability status scale (EDSS) score </w:t>
      </w:r>
      <w:r>
        <w:rPr>
          <w:rFonts w:asciiTheme="minorHAnsi" w:hAnsiTheme="minorHAnsi"/>
          <w:sz w:val="22"/>
          <w:szCs w:val="22"/>
          <w:lang w:val="en-GB"/>
        </w:rPr>
        <w:t>≤6.</w:t>
      </w:r>
      <w:r w:rsidRPr="00FB6AA0">
        <w:rPr>
          <w:rFonts w:asciiTheme="minorHAnsi" w:hAnsiTheme="minorHAnsi"/>
          <w:sz w:val="22"/>
          <w:szCs w:val="22"/>
          <w:lang w:val="en-GB"/>
        </w:rPr>
        <w:t xml:space="preserve">5 and </w:t>
      </w:r>
      <w:r>
        <w:rPr>
          <w:rFonts w:asciiTheme="minorHAnsi" w:hAnsiTheme="minorHAnsi"/>
          <w:sz w:val="22"/>
          <w:szCs w:val="22"/>
          <w:lang w:val="en-GB"/>
        </w:rPr>
        <w:t>evidence of progression on</w:t>
      </w:r>
      <w:r w:rsidRPr="005B26DB">
        <w:rPr>
          <w:rFonts w:asciiTheme="minorHAnsi" w:hAnsiTheme="minorHAnsi"/>
          <w:sz w:val="22"/>
          <w:szCs w:val="22"/>
          <w:lang w:val="en-GB"/>
        </w:rPr>
        <w:t xml:space="preserve"> </w:t>
      </w:r>
      <w:r>
        <w:rPr>
          <w:rFonts w:asciiTheme="minorHAnsi" w:hAnsiTheme="minorHAnsi"/>
          <w:sz w:val="22"/>
          <w:szCs w:val="22"/>
          <w:lang w:val="en-GB"/>
        </w:rPr>
        <w:t xml:space="preserve">EDSS in the two years prior to inclusion. Patients were studied with cerebrospinal fluid (CSF), magnetic resonance imaging (MRI) and clinical tests during the study period. Primary </w:t>
      </w:r>
      <w:r w:rsidR="00FD3AA8">
        <w:rPr>
          <w:rFonts w:asciiTheme="minorHAnsi" w:hAnsiTheme="minorHAnsi"/>
          <w:sz w:val="22"/>
          <w:szCs w:val="22"/>
          <w:lang w:val="en-GB"/>
        </w:rPr>
        <w:t>endpoint</w:t>
      </w:r>
      <w:r>
        <w:rPr>
          <w:rFonts w:asciiTheme="minorHAnsi" w:hAnsiTheme="minorHAnsi"/>
          <w:sz w:val="22"/>
          <w:szCs w:val="22"/>
          <w:lang w:val="en-GB"/>
        </w:rPr>
        <w:t xml:space="preserve"> was change in the CSF concentration of osteopontin, a marker of inflammation.</w:t>
      </w:r>
    </w:p>
    <w:p w14:paraId="5AD44F2A" w14:textId="6383E487" w:rsidR="00A538A3" w:rsidRPr="005B26DB" w:rsidRDefault="00A538A3" w:rsidP="000E2C6A">
      <w:pPr>
        <w:spacing w:line="360" w:lineRule="auto"/>
        <w:rPr>
          <w:rFonts w:asciiTheme="minorHAnsi" w:hAnsiTheme="minorHAnsi"/>
          <w:sz w:val="22"/>
          <w:szCs w:val="22"/>
          <w:lang w:val="en-GB"/>
        </w:rPr>
      </w:pPr>
      <w:r w:rsidRPr="005B26DB">
        <w:rPr>
          <w:rFonts w:asciiTheme="minorHAnsi" w:hAnsiTheme="minorHAnsi"/>
          <w:b/>
          <w:sz w:val="22"/>
          <w:szCs w:val="22"/>
          <w:lang w:val="en-GB"/>
        </w:rPr>
        <w:t>Results:</w:t>
      </w:r>
      <w:r w:rsidRPr="005B26DB">
        <w:rPr>
          <w:rFonts w:asciiTheme="minorHAnsi" w:hAnsiTheme="minorHAnsi"/>
          <w:sz w:val="22"/>
          <w:szCs w:val="22"/>
          <w:lang w:val="en-GB"/>
        </w:rPr>
        <w:t xml:space="preserve"> </w:t>
      </w:r>
      <w:r>
        <w:rPr>
          <w:rFonts w:asciiTheme="minorHAnsi" w:hAnsiTheme="minorHAnsi"/>
          <w:sz w:val="22"/>
          <w:szCs w:val="22"/>
          <w:lang w:val="en-GB"/>
        </w:rPr>
        <w:t xml:space="preserve">17 of the patients completed the study; four patients discontinued treatment due to antibodies against natalizumab; three patients discontinued on their own request. Treatment with natalizumab was well tolerated with no signs of unexpected disease activity. Three serious adverse events were unrelated to natalizumab therapy. The CSF </w:t>
      </w:r>
      <w:proofErr w:type="spellStart"/>
      <w:r>
        <w:rPr>
          <w:rFonts w:asciiTheme="minorHAnsi" w:hAnsiTheme="minorHAnsi"/>
          <w:sz w:val="22"/>
          <w:szCs w:val="22"/>
          <w:lang w:val="en-GB"/>
        </w:rPr>
        <w:t>osteopontin</w:t>
      </w:r>
      <w:proofErr w:type="spellEnd"/>
      <w:r>
        <w:rPr>
          <w:rFonts w:asciiTheme="minorHAnsi" w:hAnsiTheme="minorHAnsi"/>
          <w:sz w:val="22"/>
          <w:szCs w:val="22"/>
          <w:lang w:val="en-GB"/>
        </w:rPr>
        <w:t xml:space="preserve"> concentration decreased significantly </w:t>
      </w:r>
      <w:r w:rsidR="00FD3AA8" w:rsidRPr="00FD3AA8">
        <w:rPr>
          <w:rFonts w:asciiTheme="minorHAnsi" w:hAnsiTheme="minorHAnsi"/>
          <w:sz w:val="22"/>
          <w:szCs w:val="22"/>
          <w:lang w:val="en-GB"/>
        </w:rPr>
        <w:t xml:space="preserve">by 65 ng/ml (95% CI 34 to 96 ng/ml; p=0.0004) </w:t>
      </w:r>
      <w:r w:rsidR="00FD3AA8">
        <w:rPr>
          <w:rFonts w:asciiTheme="minorHAnsi" w:hAnsiTheme="minorHAnsi"/>
          <w:sz w:val="22"/>
          <w:szCs w:val="22"/>
          <w:lang w:val="en-GB"/>
        </w:rPr>
        <w:t xml:space="preserve">from </w:t>
      </w:r>
      <w:r>
        <w:rPr>
          <w:rFonts w:asciiTheme="minorHAnsi" w:hAnsiTheme="minorHAnsi"/>
          <w:sz w:val="22"/>
          <w:szCs w:val="22"/>
          <w:lang w:val="en-GB"/>
        </w:rPr>
        <w:t>baseline to week 60. Secondary outcomes showed a significant decrease in EDSS score (p=0.01) and significant decreases in CSF markers of inflammation (CXCL13, p=0.02 and matrix metalloproteinase-9, p=0.047), axonal damage (neurofilament light chain, p=0.03) and demyelination (myelin basic protein, p=0.047) from baseline to week 60. On MRI patients had a median of three new or enlarging lesions from week 12 to week 60.  The mean atrophy rate from week 12 to 60 was -0.66%. Median magnetization transfer ratio (MTR) increased from baseline to week 60 in normal appearing white (p=0.006) and grey matter (p=0.004) and in lesions (p=0.07).</w:t>
      </w:r>
    </w:p>
    <w:p w14:paraId="1ABD8EB4" w14:textId="468C6C00" w:rsidR="00986427" w:rsidRPr="00A538A3" w:rsidRDefault="00A538A3" w:rsidP="000E2C6A">
      <w:pPr>
        <w:spacing w:line="360" w:lineRule="auto"/>
        <w:rPr>
          <w:lang w:val="en-GB"/>
        </w:rPr>
      </w:pPr>
      <w:r w:rsidRPr="005B26DB">
        <w:rPr>
          <w:rFonts w:asciiTheme="minorHAnsi" w:hAnsiTheme="minorHAnsi"/>
          <w:b/>
          <w:sz w:val="22"/>
          <w:szCs w:val="22"/>
          <w:lang w:val="en-GB"/>
        </w:rPr>
        <w:t>Conclusion:</w:t>
      </w:r>
      <w:r w:rsidRPr="005B26DB">
        <w:rPr>
          <w:rFonts w:asciiTheme="minorHAnsi" w:hAnsiTheme="minorHAnsi"/>
          <w:sz w:val="22"/>
          <w:szCs w:val="22"/>
          <w:lang w:val="en-GB"/>
        </w:rPr>
        <w:t xml:space="preserve"> </w:t>
      </w:r>
      <w:r w:rsidR="00FD3AA8">
        <w:rPr>
          <w:rFonts w:asciiTheme="minorHAnsi" w:hAnsiTheme="minorHAnsi"/>
          <w:sz w:val="22"/>
          <w:szCs w:val="22"/>
          <w:lang w:val="en-GB"/>
        </w:rPr>
        <w:t>N</w:t>
      </w:r>
      <w:r>
        <w:rPr>
          <w:rFonts w:asciiTheme="minorHAnsi" w:hAnsiTheme="minorHAnsi"/>
          <w:sz w:val="22"/>
          <w:szCs w:val="22"/>
          <w:lang w:val="en-GB"/>
        </w:rPr>
        <w:t xml:space="preserve">atalizumab treatment reduces CSF measures of inflammation, axonal </w:t>
      </w:r>
      <w:proofErr w:type="gramStart"/>
      <w:r>
        <w:rPr>
          <w:rFonts w:asciiTheme="minorHAnsi" w:hAnsiTheme="minorHAnsi"/>
          <w:sz w:val="22"/>
          <w:szCs w:val="22"/>
          <w:lang w:val="en-GB"/>
        </w:rPr>
        <w:t>damage</w:t>
      </w:r>
      <w:proofErr w:type="gramEnd"/>
      <w:r>
        <w:rPr>
          <w:rFonts w:asciiTheme="minorHAnsi" w:hAnsiTheme="minorHAnsi"/>
          <w:sz w:val="22"/>
          <w:szCs w:val="22"/>
          <w:lang w:val="en-GB"/>
        </w:rPr>
        <w:t xml:space="preserve"> and demyelination in progressive MS along with favourable changes in clinical and MTR measures. The study did not raise concerns of new safety issues. We conclude that the conduct of phase 3 studies of natalizumab treatment may prove favourable clinical effects in progressive MS patients. </w:t>
      </w:r>
    </w:p>
    <w:sectPr w:rsidR="00986427" w:rsidRPr="00A538A3" w:rsidSect="00986427">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1304"/>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8A3"/>
    <w:rsid w:val="000E2C6A"/>
    <w:rsid w:val="001C7668"/>
    <w:rsid w:val="00986427"/>
    <w:rsid w:val="00A538A3"/>
    <w:rsid w:val="00FA32F7"/>
    <w:rsid w:val="00FB24A4"/>
    <w:rsid w:val="00FD3AA8"/>
    <w:rsid w:val="00FE3919"/>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C704F1"/>
  <w15:docId w15:val="{3E376227-CEAB-4012-B00F-2EFCECD42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a-DK" w:eastAsia="da-D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38A3"/>
    <w:rPr>
      <w:sz w:val="24"/>
      <w:szCs w:val="24"/>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Markeringsbobletekst">
    <w:name w:val="Balloon Text"/>
    <w:basedOn w:val="Normal"/>
    <w:link w:val="MarkeringsbobletekstTegn"/>
    <w:uiPriority w:val="99"/>
    <w:semiHidden/>
    <w:unhideWhenUsed/>
    <w:rsid w:val="00FD3AA8"/>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FD3AA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388</Words>
  <Characters>2261</Characters>
  <Application>Microsoft Office Word</Application>
  <DocSecurity>0</DocSecurity>
  <Lines>18</Lines>
  <Paragraphs>5</Paragraphs>
  <ScaleCrop>false</ScaleCrop>
  <Company>Rigshospitalet</Company>
  <LinksUpToDate>false</LinksUpToDate>
  <CharactersWithSpaces>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RH29219</dc:creator>
  <cp:keywords/>
  <dc:description/>
  <cp:lastModifiedBy>Jeppe Romme Christensen</cp:lastModifiedBy>
  <cp:revision>3</cp:revision>
  <dcterms:created xsi:type="dcterms:W3CDTF">2022-06-08T08:04:00Z</dcterms:created>
  <dcterms:modified xsi:type="dcterms:W3CDTF">2022-06-08T08:10:00Z</dcterms:modified>
</cp:coreProperties>
</file>